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E6A4" w14:textId="77777777" w:rsidR="00521A38" w:rsidRPr="002A3CC2" w:rsidRDefault="00EC6214" w:rsidP="00521A38">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Pr="002A3CC2">
        <w:rPr>
          <w:rFonts w:ascii="Arial" w:hAnsi="Arial" w:cs="Arial"/>
          <w:bCs/>
          <w:spacing w:val="-3"/>
          <w:sz w:val="22"/>
          <w:szCs w:val="22"/>
        </w:rPr>
        <w:t>he Public Interest Monitor</w:t>
      </w:r>
      <w:r w:rsidR="0060145C" w:rsidRPr="002A3CC2">
        <w:rPr>
          <w:rFonts w:ascii="Arial" w:hAnsi="Arial" w:cs="Arial"/>
          <w:bCs/>
          <w:spacing w:val="-3"/>
          <w:sz w:val="22"/>
          <w:szCs w:val="22"/>
        </w:rPr>
        <w:t xml:space="preserve"> (PIM)</w:t>
      </w:r>
      <w:r w:rsidRPr="002A3CC2">
        <w:rPr>
          <w:rFonts w:ascii="Arial" w:hAnsi="Arial" w:cs="Arial"/>
          <w:bCs/>
          <w:spacing w:val="-3"/>
          <w:sz w:val="22"/>
          <w:szCs w:val="22"/>
        </w:rPr>
        <w:t xml:space="preserve"> and Deputy Public Interest Monitors</w:t>
      </w:r>
      <w:r w:rsidR="0060145C" w:rsidRPr="002A3CC2">
        <w:rPr>
          <w:rFonts w:ascii="Arial" w:hAnsi="Arial" w:cs="Arial"/>
          <w:bCs/>
          <w:spacing w:val="-3"/>
          <w:sz w:val="22"/>
          <w:szCs w:val="22"/>
        </w:rPr>
        <w:t xml:space="preserve"> (DPIMs)</w:t>
      </w:r>
      <w:r w:rsidRPr="002A3CC2">
        <w:rPr>
          <w:rFonts w:ascii="Arial" w:hAnsi="Arial" w:cs="Arial"/>
          <w:bCs/>
          <w:spacing w:val="-3"/>
          <w:sz w:val="22"/>
          <w:szCs w:val="22"/>
        </w:rPr>
        <w:t xml:space="preserve"> are appointed by the Governor in Council under section 324 of the </w:t>
      </w:r>
      <w:r w:rsidRPr="002A3CC2">
        <w:rPr>
          <w:rFonts w:ascii="Arial" w:hAnsi="Arial" w:cs="Arial"/>
          <w:bCs/>
          <w:i/>
          <w:iCs/>
          <w:spacing w:val="-3"/>
          <w:sz w:val="22"/>
          <w:szCs w:val="22"/>
        </w:rPr>
        <w:t>Crime and Corruption Act 2001</w:t>
      </w:r>
      <w:r w:rsidRPr="002A3CC2">
        <w:rPr>
          <w:rFonts w:ascii="Arial" w:hAnsi="Arial" w:cs="Arial"/>
          <w:bCs/>
          <w:spacing w:val="-3"/>
          <w:sz w:val="22"/>
          <w:szCs w:val="22"/>
        </w:rPr>
        <w:t xml:space="preserve"> and section 740 of the </w:t>
      </w:r>
      <w:r w:rsidRPr="002A3CC2">
        <w:rPr>
          <w:rFonts w:ascii="Arial" w:hAnsi="Arial" w:cs="Arial"/>
          <w:bCs/>
          <w:i/>
          <w:iCs/>
          <w:spacing w:val="-3"/>
          <w:sz w:val="22"/>
          <w:szCs w:val="22"/>
        </w:rPr>
        <w:t>Police Powers and Responsibilities Act 2000.</w:t>
      </w:r>
    </w:p>
    <w:p w14:paraId="627008FA" w14:textId="77777777" w:rsidR="0060145C" w:rsidRPr="002A3CC2" w:rsidRDefault="0060145C" w:rsidP="0060145C">
      <w:pPr>
        <w:numPr>
          <w:ilvl w:val="0"/>
          <w:numId w:val="1"/>
        </w:numPr>
        <w:tabs>
          <w:tab w:val="clear" w:pos="720"/>
          <w:tab w:val="num" w:pos="360"/>
        </w:tabs>
        <w:spacing w:before="240"/>
        <w:ind w:left="360"/>
        <w:jc w:val="both"/>
        <w:rPr>
          <w:rFonts w:ascii="Arial" w:hAnsi="Arial" w:cs="Arial"/>
          <w:bCs/>
          <w:spacing w:val="-3"/>
          <w:sz w:val="22"/>
          <w:szCs w:val="22"/>
        </w:rPr>
      </w:pPr>
      <w:r w:rsidRPr="002A3CC2">
        <w:rPr>
          <w:rFonts w:ascii="Arial" w:hAnsi="Arial" w:cs="Arial"/>
          <w:bCs/>
          <w:spacing w:val="-3"/>
          <w:sz w:val="22"/>
          <w:szCs w:val="22"/>
        </w:rPr>
        <w:t>The</w:t>
      </w:r>
      <w:r w:rsidR="00A02006" w:rsidRPr="002A3CC2">
        <w:rPr>
          <w:rFonts w:ascii="Arial" w:hAnsi="Arial" w:cs="Arial"/>
          <w:bCs/>
          <w:spacing w:val="-3"/>
          <w:sz w:val="22"/>
          <w:szCs w:val="22"/>
        </w:rPr>
        <w:t xml:space="preserve"> DPIM and</w:t>
      </w:r>
      <w:r w:rsidRPr="002A3CC2">
        <w:rPr>
          <w:rFonts w:ascii="Arial" w:hAnsi="Arial" w:cs="Arial"/>
          <w:bCs/>
          <w:spacing w:val="-3"/>
          <w:sz w:val="22"/>
          <w:szCs w:val="22"/>
        </w:rPr>
        <w:t xml:space="preserve"> PIM’s functions include:</w:t>
      </w:r>
    </w:p>
    <w:p w14:paraId="7F155222" w14:textId="77777777" w:rsidR="0060145C" w:rsidRPr="002A3CC2" w:rsidRDefault="0060145C" w:rsidP="001D7F12">
      <w:pPr>
        <w:numPr>
          <w:ilvl w:val="0"/>
          <w:numId w:val="5"/>
        </w:numPr>
        <w:spacing w:before="120"/>
        <w:jc w:val="both"/>
        <w:rPr>
          <w:rFonts w:ascii="Arial" w:hAnsi="Arial" w:cs="Arial"/>
          <w:bCs/>
          <w:sz w:val="22"/>
          <w:szCs w:val="22"/>
        </w:rPr>
      </w:pPr>
      <w:r w:rsidRPr="002A3CC2">
        <w:rPr>
          <w:rFonts w:ascii="Arial" w:hAnsi="Arial" w:cs="Arial"/>
          <w:bCs/>
          <w:sz w:val="22"/>
          <w:szCs w:val="22"/>
        </w:rPr>
        <w:t>appearing in court hearings to test the validity of applications by law enforcement authorities for surveillance device warrants, retrieval warrants, approvals for the use of surveillance devices under emergency authorisations, covert search warrants, control orders and preventative detention orders; and</w:t>
      </w:r>
    </w:p>
    <w:p w14:paraId="6FFCD118" w14:textId="77777777" w:rsidR="0060145C" w:rsidRPr="002A3CC2" w:rsidRDefault="0060145C" w:rsidP="001D7F12">
      <w:pPr>
        <w:numPr>
          <w:ilvl w:val="0"/>
          <w:numId w:val="5"/>
        </w:numPr>
        <w:spacing w:before="120"/>
        <w:jc w:val="both"/>
        <w:rPr>
          <w:rFonts w:ascii="Arial" w:hAnsi="Arial" w:cs="Arial"/>
          <w:bCs/>
          <w:sz w:val="22"/>
          <w:szCs w:val="22"/>
        </w:rPr>
      </w:pPr>
      <w:r w:rsidRPr="002A3CC2">
        <w:rPr>
          <w:rFonts w:ascii="Arial" w:hAnsi="Arial" w:cs="Arial"/>
          <w:bCs/>
          <w:sz w:val="22"/>
          <w:szCs w:val="22"/>
        </w:rPr>
        <w:t>monitoring, reporting and statistics-gathering functions in relation to the relevant applications, including with respect to compliance/non-compliance by law enforcement officers with the applicable legislative requirements.</w:t>
      </w:r>
    </w:p>
    <w:p w14:paraId="50EE718A" w14:textId="77777777" w:rsidR="0060145C" w:rsidRPr="002A3CC2" w:rsidRDefault="0060145C" w:rsidP="001D7F12">
      <w:pPr>
        <w:numPr>
          <w:ilvl w:val="0"/>
          <w:numId w:val="1"/>
        </w:numPr>
        <w:tabs>
          <w:tab w:val="clear" w:pos="720"/>
        </w:tabs>
        <w:spacing w:before="240"/>
        <w:ind w:left="432" w:hanging="432"/>
        <w:jc w:val="both"/>
        <w:rPr>
          <w:rFonts w:ascii="Arial" w:hAnsi="Arial" w:cs="Arial"/>
          <w:bCs/>
          <w:spacing w:val="-3"/>
          <w:sz w:val="22"/>
          <w:szCs w:val="22"/>
        </w:rPr>
      </w:pPr>
      <w:r w:rsidRPr="002A3CC2">
        <w:rPr>
          <w:rFonts w:ascii="Arial" w:hAnsi="Arial" w:cs="Arial"/>
          <w:sz w:val="22"/>
          <w:szCs w:val="22"/>
        </w:rPr>
        <w:t xml:space="preserve">The PIM </w:t>
      </w:r>
      <w:r w:rsidR="00733799" w:rsidRPr="002A3CC2">
        <w:rPr>
          <w:rFonts w:ascii="Arial" w:hAnsi="Arial" w:cs="Arial"/>
          <w:sz w:val="22"/>
          <w:szCs w:val="22"/>
        </w:rPr>
        <w:t>is also responsible for the</w:t>
      </w:r>
      <w:r w:rsidR="00A02006" w:rsidRPr="002A3CC2">
        <w:rPr>
          <w:rFonts w:ascii="Arial" w:hAnsi="Arial" w:cs="Arial"/>
          <w:sz w:val="22"/>
          <w:szCs w:val="22"/>
        </w:rPr>
        <w:t xml:space="preserve"> </w:t>
      </w:r>
      <w:r w:rsidRPr="002A3CC2">
        <w:rPr>
          <w:rFonts w:ascii="Arial" w:hAnsi="Arial" w:cs="Arial"/>
          <w:sz w:val="22"/>
          <w:szCs w:val="22"/>
        </w:rPr>
        <w:t>reporting functions listed below:</w:t>
      </w:r>
    </w:p>
    <w:p w14:paraId="6686A3A8" w14:textId="77777777" w:rsidR="0060145C" w:rsidRPr="002A3CC2" w:rsidRDefault="0060145C" w:rsidP="001D7F12">
      <w:pPr>
        <w:numPr>
          <w:ilvl w:val="0"/>
          <w:numId w:val="5"/>
        </w:numPr>
        <w:spacing w:before="120"/>
        <w:jc w:val="both"/>
        <w:rPr>
          <w:rFonts w:ascii="Arial" w:hAnsi="Arial" w:cs="Arial"/>
          <w:bCs/>
          <w:spacing w:val="-3"/>
          <w:sz w:val="22"/>
          <w:szCs w:val="22"/>
        </w:rPr>
      </w:pPr>
      <w:r w:rsidRPr="002A3CC2">
        <w:rPr>
          <w:rFonts w:ascii="Arial" w:hAnsi="Arial" w:cs="Arial"/>
          <w:sz w:val="22"/>
          <w:szCs w:val="22"/>
        </w:rPr>
        <w:t>providing reports on non-compliance by officers with the legislative requirements relating to surveillance device warrants, retrieval warrants, covert search warrants and surveillance devices under emergency authorisations;</w:t>
      </w:r>
    </w:p>
    <w:p w14:paraId="56414CC8" w14:textId="77777777" w:rsidR="0060145C" w:rsidRPr="002A3CC2" w:rsidRDefault="0060145C" w:rsidP="001D7F12">
      <w:pPr>
        <w:numPr>
          <w:ilvl w:val="0"/>
          <w:numId w:val="5"/>
        </w:numPr>
        <w:spacing w:before="120"/>
        <w:jc w:val="both"/>
        <w:rPr>
          <w:rFonts w:ascii="Arial" w:hAnsi="Arial" w:cs="Arial"/>
          <w:bCs/>
          <w:spacing w:val="-3"/>
          <w:sz w:val="22"/>
          <w:szCs w:val="22"/>
        </w:rPr>
      </w:pPr>
      <w:r w:rsidRPr="002A3CC2">
        <w:rPr>
          <w:rFonts w:ascii="Arial" w:hAnsi="Arial" w:cs="Arial"/>
          <w:sz w:val="22"/>
          <w:szCs w:val="22"/>
        </w:rPr>
        <w:t>providing six-monthly reports on the results of the PIM’s inspections of records; and</w:t>
      </w:r>
    </w:p>
    <w:p w14:paraId="222B6BF3" w14:textId="77777777" w:rsidR="0060145C" w:rsidRPr="002A3CC2" w:rsidRDefault="0060145C" w:rsidP="001D7F12">
      <w:pPr>
        <w:numPr>
          <w:ilvl w:val="0"/>
          <w:numId w:val="5"/>
        </w:numPr>
        <w:spacing w:before="120"/>
        <w:jc w:val="both"/>
        <w:rPr>
          <w:rFonts w:ascii="Arial" w:hAnsi="Arial" w:cs="Arial"/>
          <w:bCs/>
          <w:spacing w:val="-3"/>
          <w:sz w:val="22"/>
          <w:szCs w:val="22"/>
        </w:rPr>
      </w:pPr>
      <w:r w:rsidRPr="002A3CC2">
        <w:rPr>
          <w:rFonts w:ascii="Arial" w:hAnsi="Arial" w:cs="Arial"/>
          <w:sz w:val="22"/>
          <w:szCs w:val="22"/>
        </w:rPr>
        <w:t>providing the PIM’s annual reports.</w:t>
      </w:r>
    </w:p>
    <w:p w14:paraId="76D91434" w14:textId="77777777" w:rsidR="007F39E4" w:rsidRPr="002A3CC2" w:rsidRDefault="00354F4E" w:rsidP="006C454B">
      <w:pPr>
        <w:numPr>
          <w:ilvl w:val="0"/>
          <w:numId w:val="1"/>
        </w:numPr>
        <w:tabs>
          <w:tab w:val="clear" w:pos="720"/>
          <w:tab w:val="num" w:pos="360"/>
        </w:tabs>
        <w:spacing w:before="240" w:after="120"/>
        <w:ind w:left="360"/>
        <w:jc w:val="both"/>
        <w:rPr>
          <w:rFonts w:ascii="Arial" w:hAnsi="Arial" w:cs="Arial"/>
          <w:bCs/>
          <w:spacing w:val="-3"/>
          <w:sz w:val="22"/>
          <w:szCs w:val="22"/>
        </w:rPr>
      </w:pPr>
      <w:r w:rsidRPr="002A3CC2">
        <w:rPr>
          <w:rFonts w:ascii="Arial" w:hAnsi="Arial" w:cs="Arial"/>
          <w:sz w:val="22"/>
          <w:szCs w:val="22"/>
          <w:u w:val="single"/>
        </w:rPr>
        <w:t>Cabinet endorsed</w:t>
      </w:r>
      <w:r w:rsidRPr="002A3CC2">
        <w:rPr>
          <w:rFonts w:ascii="Arial" w:hAnsi="Arial" w:cs="Arial"/>
          <w:sz w:val="22"/>
          <w:szCs w:val="22"/>
        </w:rPr>
        <w:t xml:space="preserve"> that </w:t>
      </w:r>
      <w:r w:rsidR="00ED0160" w:rsidRPr="002A3CC2">
        <w:rPr>
          <w:rFonts w:ascii="Arial" w:hAnsi="Arial" w:cs="Arial"/>
          <w:sz w:val="22"/>
          <w:szCs w:val="22"/>
        </w:rPr>
        <w:t>Mr Gavin Rebetzke</w:t>
      </w:r>
      <w:r w:rsidRPr="002A3CC2">
        <w:rPr>
          <w:rFonts w:ascii="Arial" w:hAnsi="Arial" w:cs="Arial"/>
          <w:sz w:val="22"/>
          <w:szCs w:val="22"/>
        </w:rPr>
        <w:t xml:space="preserve"> be recommended to the Governor in Council for appointment as </w:t>
      </w:r>
      <w:r w:rsidR="00130C2C" w:rsidRPr="002A3CC2">
        <w:rPr>
          <w:rFonts w:ascii="Arial" w:hAnsi="Arial" w:cs="Arial"/>
          <w:sz w:val="22"/>
          <w:szCs w:val="22"/>
        </w:rPr>
        <w:t xml:space="preserve">a </w:t>
      </w:r>
      <w:r w:rsidRPr="002A3CC2">
        <w:rPr>
          <w:rFonts w:ascii="Arial" w:hAnsi="Arial" w:cs="Arial"/>
          <w:sz w:val="22"/>
          <w:szCs w:val="22"/>
        </w:rPr>
        <w:t xml:space="preserve">Deputy Public Interest Monitor for a term </w:t>
      </w:r>
      <w:r w:rsidR="00AB57B4" w:rsidRPr="002A3CC2">
        <w:rPr>
          <w:rFonts w:ascii="Arial" w:hAnsi="Arial" w:cs="Arial"/>
          <w:sz w:val="22"/>
          <w:szCs w:val="22"/>
        </w:rPr>
        <w:t xml:space="preserve">of three years </w:t>
      </w:r>
      <w:r w:rsidR="00502C4F" w:rsidRPr="002A3CC2">
        <w:rPr>
          <w:rFonts w:ascii="Arial" w:hAnsi="Arial" w:cs="Arial"/>
          <w:sz w:val="22"/>
          <w:szCs w:val="22"/>
        </w:rPr>
        <w:t>commencing on and from the day following Governor in Council approval</w:t>
      </w:r>
      <w:r w:rsidR="00AB57B4" w:rsidRPr="002A3CC2">
        <w:rPr>
          <w:rFonts w:ascii="Arial" w:hAnsi="Arial" w:cs="Arial"/>
          <w:sz w:val="22"/>
          <w:szCs w:val="22"/>
        </w:rPr>
        <w:t xml:space="preserve">. </w:t>
      </w:r>
    </w:p>
    <w:p w14:paraId="342A2501" w14:textId="2C862A2D" w:rsidR="00F46446" w:rsidRPr="00F46446" w:rsidRDefault="00F46446" w:rsidP="001D7F12">
      <w:pPr>
        <w:numPr>
          <w:ilvl w:val="0"/>
          <w:numId w:val="1"/>
        </w:numPr>
        <w:tabs>
          <w:tab w:val="clear" w:pos="720"/>
          <w:tab w:val="num" w:pos="360"/>
        </w:tabs>
        <w:spacing w:before="360"/>
        <w:ind w:left="360"/>
        <w:jc w:val="both"/>
        <w:rPr>
          <w:rFonts w:ascii="Arial" w:hAnsi="Arial" w:cs="Arial"/>
          <w:bCs/>
          <w:spacing w:val="-3"/>
          <w:sz w:val="22"/>
          <w:szCs w:val="22"/>
        </w:rPr>
      </w:pPr>
      <w:r w:rsidRPr="00F46446">
        <w:rPr>
          <w:rFonts w:ascii="Arial" w:hAnsi="Arial" w:cs="Arial"/>
          <w:i/>
          <w:iCs/>
          <w:sz w:val="22"/>
          <w:szCs w:val="22"/>
          <w:u w:val="single"/>
        </w:rPr>
        <w:t>Attachments</w:t>
      </w:r>
      <w:r>
        <w:rPr>
          <w:rFonts w:ascii="Arial" w:hAnsi="Arial" w:cs="Arial"/>
          <w:sz w:val="22"/>
          <w:szCs w:val="22"/>
        </w:rPr>
        <w:t>:</w:t>
      </w:r>
    </w:p>
    <w:p w14:paraId="31A27A8B" w14:textId="63C08492" w:rsidR="00F46446" w:rsidRPr="006C454B" w:rsidRDefault="00F46446" w:rsidP="001D7F12">
      <w:pPr>
        <w:numPr>
          <w:ilvl w:val="0"/>
          <w:numId w:val="6"/>
        </w:numPr>
        <w:spacing w:before="120"/>
        <w:jc w:val="both"/>
        <w:rPr>
          <w:rFonts w:ascii="Arial" w:hAnsi="Arial" w:cs="Arial"/>
          <w:bCs/>
          <w:spacing w:val="-3"/>
          <w:sz w:val="22"/>
          <w:szCs w:val="22"/>
        </w:rPr>
      </w:pPr>
      <w:r>
        <w:rPr>
          <w:rFonts w:ascii="Arial" w:hAnsi="Arial" w:cs="Arial"/>
          <w:sz w:val="22"/>
          <w:szCs w:val="22"/>
        </w:rPr>
        <w:t>Nil.</w:t>
      </w:r>
    </w:p>
    <w:sectPr w:rsidR="00F46446" w:rsidRPr="006C454B" w:rsidSect="008F1551">
      <w:headerReference w:type="default" r:id="rId11"/>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F68C" w14:textId="77777777" w:rsidR="008F1551" w:rsidRDefault="008F1551" w:rsidP="00D6589B">
      <w:r>
        <w:separator/>
      </w:r>
    </w:p>
  </w:endnote>
  <w:endnote w:type="continuationSeparator" w:id="0">
    <w:p w14:paraId="56C36B35" w14:textId="77777777" w:rsidR="008F1551" w:rsidRDefault="008F155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2927" w14:textId="77777777" w:rsidR="008F1551" w:rsidRDefault="008F1551" w:rsidP="00D6589B">
      <w:r>
        <w:separator/>
      </w:r>
    </w:p>
  </w:footnote>
  <w:footnote w:type="continuationSeparator" w:id="0">
    <w:p w14:paraId="6644145A" w14:textId="77777777" w:rsidR="008F1551" w:rsidRDefault="008F155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8406" w14:textId="77777777" w:rsidR="007F39E4" w:rsidRPr="00D75134"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14:paraId="38A2CC25" w14:textId="77777777" w:rsidR="007F39E4" w:rsidRPr="00D75134"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587E8BD8" w14:textId="77777777" w:rsidR="007F39E4" w:rsidRPr="001E209B"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B504C7" w:rsidRPr="00B504C7">
      <w:rPr>
        <w:rFonts w:ascii="Arial" w:hAnsi="Arial" w:cs="Arial"/>
        <w:b/>
        <w:sz w:val="22"/>
        <w:szCs w:val="22"/>
      </w:rPr>
      <w:t>May</w:t>
    </w:r>
    <w:r w:rsidR="00B504C7">
      <w:rPr>
        <w:rFonts w:ascii="Arial" w:hAnsi="Arial" w:cs="Arial"/>
        <w:b/>
        <w:sz w:val="22"/>
        <w:szCs w:val="22"/>
      </w:rPr>
      <w:t xml:space="preserve"> </w:t>
    </w:r>
    <w:r w:rsidR="00AB57B4">
      <w:rPr>
        <w:rFonts w:ascii="Arial" w:hAnsi="Arial" w:cs="Arial"/>
        <w:b/>
        <w:sz w:val="22"/>
        <w:szCs w:val="22"/>
      </w:rPr>
      <w:t>2023</w:t>
    </w:r>
  </w:p>
  <w:p w14:paraId="09C7C699" w14:textId="77777777" w:rsidR="007F39E4" w:rsidRDefault="006F0669" w:rsidP="00D6589B">
    <w:pPr>
      <w:pStyle w:val="Header"/>
      <w:spacing w:before="120"/>
      <w:rPr>
        <w:rFonts w:ascii="Arial" w:hAnsi="Arial" w:cs="Arial"/>
        <w:b/>
        <w:sz w:val="22"/>
        <w:szCs w:val="22"/>
        <w:u w:val="single"/>
      </w:rPr>
    </w:pPr>
    <w:r>
      <w:rPr>
        <w:rFonts w:ascii="Arial" w:hAnsi="Arial" w:cs="Arial"/>
        <w:b/>
        <w:sz w:val="22"/>
        <w:szCs w:val="22"/>
        <w:u w:val="single"/>
      </w:rPr>
      <w:t>A</w:t>
    </w:r>
    <w:r w:rsidR="00EC6214">
      <w:rPr>
        <w:rFonts w:ascii="Arial" w:hAnsi="Arial" w:cs="Arial"/>
        <w:b/>
        <w:sz w:val="22"/>
        <w:szCs w:val="22"/>
        <w:u w:val="single"/>
      </w:rPr>
      <w:t xml:space="preserve">ppointment of </w:t>
    </w:r>
    <w:r>
      <w:rPr>
        <w:rFonts w:ascii="Arial" w:hAnsi="Arial" w:cs="Arial"/>
        <w:b/>
        <w:sz w:val="22"/>
        <w:szCs w:val="22"/>
        <w:u w:val="single"/>
      </w:rPr>
      <w:t xml:space="preserve">a </w:t>
    </w:r>
    <w:r w:rsidR="00EC6214">
      <w:rPr>
        <w:rFonts w:ascii="Arial" w:hAnsi="Arial" w:cs="Arial"/>
        <w:b/>
        <w:sz w:val="22"/>
        <w:szCs w:val="22"/>
        <w:u w:val="single"/>
      </w:rPr>
      <w:t>Deputy Public Interest Monitor</w:t>
    </w:r>
  </w:p>
  <w:p w14:paraId="25062E99" w14:textId="77777777" w:rsidR="007F39E4" w:rsidRDefault="00AA0B37" w:rsidP="001D7F12">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Minister for Police</w:t>
    </w:r>
    <w:r w:rsidR="00F74C35">
      <w:rPr>
        <w:rFonts w:ascii="Arial" w:hAnsi="Arial" w:cs="Arial"/>
        <w:b/>
        <w:sz w:val="22"/>
        <w:szCs w:val="22"/>
        <w:u w:val="single"/>
      </w:rPr>
      <w:t xml:space="preserve"> and Corrective Services</w:t>
    </w:r>
    <w:r w:rsidR="00FB6692">
      <w:rPr>
        <w:rFonts w:ascii="Arial" w:hAnsi="Arial" w:cs="Arial"/>
        <w:b/>
        <w:sz w:val="22"/>
        <w:szCs w:val="22"/>
        <w:u w:val="single"/>
      </w:rPr>
      <w:t xml:space="preserve"> and Minister for Fire and Emergency Services</w:t>
    </w:r>
  </w:p>
  <w:p w14:paraId="38AD5E78" w14:textId="77777777" w:rsidR="00EC6214" w:rsidRDefault="00EC6214" w:rsidP="00D6589B">
    <w:pPr>
      <w:pStyle w:val="Header"/>
      <w:pBdr>
        <w:bottom w:val="single" w:sz="4" w:space="1" w:color="auto"/>
      </w:pBdr>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6E0DFE21" w14:textId="77777777" w:rsidR="00F74C35" w:rsidRDefault="00F74C35"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F514F"/>
    <w:multiLevelType w:val="hybridMultilevel"/>
    <w:tmpl w:val="B3DC8754"/>
    <w:lvl w:ilvl="0" w:tplc="2F66E6CC">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0F4605"/>
    <w:multiLevelType w:val="hybridMultilevel"/>
    <w:tmpl w:val="DAA480C8"/>
    <w:lvl w:ilvl="0" w:tplc="E174DC7A">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7861DF"/>
    <w:multiLevelType w:val="hybridMultilevel"/>
    <w:tmpl w:val="9A6A5FFC"/>
    <w:lvl w:ilvl="0" w:tplc="D3DC1FA6">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376E94"/>
    <w:multiLevelType w:val="hybridMultilevel"/>
    <w:tmpl w:val="F4DE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760250368">
    <w:abstractNumId w:val="5"/>
  </w:num>
  <w:num w:numId="2" w16cid:durableId="695619626">
    <w:abstractNumId w:val="4"/>
  </w:num>
  <w:num w:numId="3" w16cid:durableId="658733611">
    <w:abstractNumId w:val="0"/>
  </w:num>
  <w:num w:numId="4" w16cid:durableId="283847263">
    <w:abstractNumId w:val="2"/>
  </w:num>
  <w:num w:numId="5" w16cid:durableId="1251083452">
    <w:abstractNumId w:val="1"/>
  </w:num>
  <w:num w:numId="6" w16cid:durableId="1688680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B"/>
    <w:rsid w:val="0000598A"/>
    <w:rsid w:val="00035DDF"/>
    <w:rsid w:val="00080F8F"/>
    <w:rsid w:val="000D19C3"/>
    <w:rsid w:val="000E4D8D"/>
    <w:rsid w:val="00116A08"/>
    <w:rsid w:val="00130C2C"/>
    <w:rsid w:val="00173309"/>
    <w:rsid w:val="001D7F12"/>
    <w:rsid w:val="001E209B"/>
    <w:rsid w:val="002421A2"/>
    <w:rsid w:val="00247129"/>
    <w:rsid w:val="00274F0E"/>
    <w:rsid w:val="0029206A"/>
    <w:rsid w:val="002A3CC2"/>
    <w:rsid w:val="002D1693"/>
    <w:rsid w:val="00306206"/>
    <w:rsid w:val="00320937"/>
    <w:rsid w:val="003449CC"/>
    <w:rsid w:val="003464A0"/>
    <w:rsid w:val="00354F4E"/>
    <w:rsid w:val="00371672"/>
    <w:rsid w:val="0049087A"/>
    <w:rsid w:val="00496DF7"/>
    <w:rsid w:val="00501C66"/>
    <w:rsid w:val="00502C4F"/>
    <w:rsid w:val="00521A38"/>
    <w:rsid w:val="0057051E"/>
    <w:rsid w:val="005A6BF5"/>
    <w:rsid w:val="0060145C"/>
    <w:rsid w:val="0066113E"/>
    <w:rsid w:val="006731F6"/>
    <w:rsid w:val="006C454B"/>
    <w:rsid w:val="006D017B"/>
    <w:rsid w:val="006F0669"/>
    <w:rsid w:val="00732E22"/>
    <w:rsid w:val="00733799"/>
    <w:rsid w:val="007824AB"/>
    <w:rsid w:val="007D5E26"/>
    <w:rsid w:val="007F39E4"/>
    <w:rsid w:val="007F7655"/>
    <w:rsid w:val="0088724E"/>
    <w:rsid w:val="008C495A"/>
    <w:rsid w:val="008D4D20"/>
    <w:rsid w:val="008F1551"/>
    <w:rsid w:val="008F44CD"/>
    <w:rsid w:val="008F4522"/>
    <w:rsid w:val="0091737C"/>
    <w:rsid w:val="009C67CC"/>
    <w:rsid w:val="009D3E2C"/>
    <w:rsid w:val="00A02006"/>
    <w:rsid w:val="00A203D0"/>
    <w:rsid w:val="00A527A5"/>
    <w:rsid w:val="00AA0B37"/>
    <w:rsid w:val="00AB57B4"/>
    <w:rsid w:val="00B504C7"/>
    <w:rsid w:val="00B9406F"/>
    <w:rsid w:val="00BB1CBE"/>
    <w:rsid w:val="00BB5154"/>
    <w:rsid w:val="00BC36CD"/>
    <w:rsid w:val="00C07656"/>
    <w:rsid w:val="00C95360"/>
    <w:rsid w:val="00CF0D8A"/>
    <w:rsid w:val="00D06183"/>
    <w:rsid w:val="00D143E4"/>
    <w:rsid w:val="00D51988"/>
    <w:rsid w:val="00D534BB"/>
    <w:rsid w:val="00D6359B"/>
    <w:rsid w:val="00D6589B"/>
    <w:rsid w:val="00D75134"/>
    <w:rsid w:val="00D83EFA"/>
    <w:rsid w:val="00D93AC4"/>
    <w:rsid w:val="00E432C8"/>
    <w:rsid w:val="00E50E83"/>
    <w:rsid w:val="00E66629"/>
    <w:rsid w:val="00EC5418"/>
    <w:rsid w:val="00EC6214"/>
    <w:rsid w:val="00ED0160"/>
    <w:rsid w:val="00F006E3"/>
    <w:rsid w:val="00F33E64"/>
    <w:rsid w:val="00F431CE"/>
    <w:rsid w:val="00F46446"/>
    <w:rsid w:val="00F74C35"/>
    <w:rsid w:val="00FB6692"/>
    <w:rsid w:val="00FC79A1"/>
    <w:rsid w:val="00FD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2735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CommentReference">
    <w:name w:val="annotation reference"/>
    <w:rsid w:val="00354F4E"/>
    <w:rPr>
      <w:sz w:val="16"/>
      <w:szCs w:val="16"/>
    </w:rPr>
  </w:style>
  <w:style w:type="paragraph" w:styleId="CommentText">
    <w:name w:val="annotation text"/>
    <w:basedOn w:val="Normal"/>
    <w:link w:val="CommentTextChar"/>
    <w:rsid w:val="00354F4E"/>
    <w:rPr>
      <w:sz w:val="20"/>
    </w:rPr>
  </w:style>
  <w:style w:type="character" w:customStyle="1" w:styleId="CommentTextChar">
    <w:name w:val="Comment Text Char"/>
    <w:link w:val="CommentText"/>
    <w:rsid w:val="00354F4E"/>
    <w:rPr>
      <w:rFonts w:ascii="Times New Roman" w:hAnsi="Times New Roman"/>
      <w:color w:val="000000"/>
    </w:rPr>
  </w:style>
  <w:style w:type="paragraph" w:styleId="CommentSubject">
    <w:name w:val="annotation subject"/>
    <w:basedOn w:val="CommentText"/>
    <w:next w:val="CommentText"/>
    <w:link w:val="CommentSubjectChar"/>
    <w:rsid w:val="00354F4E"/>
    <w:rPr>
      <w:b/>
      <w:bCs/>
    </w:rPr>
  </w:style>
  <w:style w:type="character" w:customStyle="1" w:styleId="CommentSubjectChar">
    <w:name w:val="Comment Subject Char"/>
    <w:link w:val="CommentSubject"/>
    <w:rsid w:val="00354F4E"/>
    <w:rPr>
      <w:rFonts w:ascii="Times New Roman" w:hAnsi="Times New Roman"/>
      <w:b/>
      <w:bCs/>
      <w:color w:val="000000"/>
    </w:rPr>
  </w:style>
  <w:style w:type="paragraph" w:styleId="ListParagraph">
    <w:name w:val="List Paragraph"/>
    <w:basedOn w:val="Normal"/>
    <w:uiPriority w:val="34"/>
    <w:qFormat/>
    <w:rsid w:val="00354F4E"/>
    <w:pPr>
      <w:ind w:left="720"/>
      <w:contextualSpacing/>
    </w:pPr>
  </w:style>
  <w:style w:type="paragraph" w:styleId="Revision">
    <w:name w:val="Revision"/>
    <w:hidden/>
    <w:uiPriority w:val="99"/>
    <w:semiHidden/>
    <w:rsid w:val="0049087A"/>
    <w:rPr>
      <w:rFonts w:ascii="Times New Roman" w:hAnsi="Times New Roman"/>
      <w:color w:val="000000"/>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28DE3-4C04-48F2-8D8A-28C2560E1A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e311de-a790-43ff-be63-577c26c7507c"/>
    <ds:schemaRef ds:uri="http://purl.org/dc/elements/1.1/"/>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99E563B6-B017-4ABE-B7A6-2F202F0D5C4F}">
  <ds:schemaRefs>
    <ds:schemaRef ds:uri="http://schemas.openxmlformats.org/officeDocument/2006/bibliography"/>
  </ds:schemaRefs>
</ds:datastoreItem>
</file>

<file path=customXml/itemProps3.xml><?xml version="1.0" encoding="utf-8"?>
<ds:datastoreItem xmlns:ds="http://schemas.openxmlformats.org/officeDocument/2006/customXml" ds:itemID="{D9AB6F0B-52E7-4172-B193-873D94436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C03CC-B125-4CBF-B79A-296081D34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1287</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1493</CharactersWithSpaces>
  <SharedDoc>false</SharedDoc>
  <HyperlinkBase>https://www.cabinet.qld.gov.au/documents/2023/May/ApptDeputyPIM/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2023-04-17T22:08:00Z</cp:lastPrinted>
  <dcterms:created xsi:type="dcterms:W3CDTF">2023-09-01T00:10:00Z</dcterms:created>
  <dcterms:modified xsi:type="dcterms:W3CDTF">2024-07-17T05:47:00Z</dcterms:modified>
  <cp:category>Courts,Crime_and_Corruption,Police,Significant_Appointments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0x010100DDE14CFDD070B24F85F5DE43654FF01E</vt:lpwstr>
  </property>
</Properties>
</file>